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1B8" w14:textId="77777777" w:rsidR="004A2262" w:rsidRDefault="004A2262" w:rsidP="009E54CB">
      <w:pPr>
        <w:spacing w:line="360" w:lineRule="auto"/>
        <w:rPr>
          <w:rFonts w:ascii="Times New Roman" w:hAnsi="Times New Roman" w:cs="Times New Roman"/>
        </w:rPr>
      </w:pPr>
      <w:r w:rsidRPr="009E54CB">
        <w:rPr>
          <w:rFonts w:ascii="Times New Roman" w:hAnsi="Times New Roman" w:cs="Times New Roman"/>
        </w:rPr>
        <w:t xml:space="preserve">Steven King, </w:t>
      </w:r>
      <w:r w:rsidRPr="009E54CB">
        <w:rPr>
          <w:rFonts w:ascii="Times New Roman" w:hAnsi="Times New Roman" w:cs="Times New Roman"/>
          <w:i/>
          <w:iCs/>
        </w:rPr>
        <w:t>Writing the Lives of the English Poor, 1750s–</w:t>
      </w:r>
      <w:r w:rsidRPr="00151882">
        <w:rPr>
          <w:rFonts w:ascii="Times New Roman" w:hAnsi="Times New Roman" w:cs="Times New Roman"/>
          <w:i/>
          <w:iCs/>
        </w:rPr>
        <w:t>1830s</w:t>
      </w:r>
      <w:r w:rsidR="00E8652E" w:rsidRPr="00151882">
        <w:rPr>
          <w:rFonts w:ascii="Times New Roman" w:hAnsi="Times New Roman" w:cs="Times New Roman"/>
          <w:i/>
          <w:iCs/>
        </w:rPr>
        <w:t xml:space="preserve"> </w:t>
      </w:r>
      <w:r w:rsidR="00E8652E">
        <w:rPr>
          <w:rFonts w:ascii="Times New Roman" w:hAnsi="Times New Roman" w:cs="Times New Roman"/>
        </w:rPr>
        <w:t>(</w:t>
      </w:r>
      <w:r w:rsidR="00E8652E" w:rsidRPr="00E8652E">
        <w:rPr>
          <w:rFonts w:ascii="Times New Roman" w:hAnsi="Times New Roman" w:cs="Times New Roman"/>
        </w:rPr>
        <w:t>Montreal</w:t>
      </w:r>
      <w:r w:rsidR="00E8652E">
        <w:rPr>
          <w:rFonts w:ascii="Times New Roman" w:hAnsi="Times New Roman" w:cs="Times New Roman"/>
        </w:rPr>
        <w:t xml:space="preserve"> and Kingston, </w:t>
      </w:r>
      <w:r w:rsidRPr="009E54CB">
        <w:rPr>
          <w:rFonts w:ascii="Times New Roman" w:hAnsi="Times New Roman" w:cs="Times New Roman"/>
        </w:rPr>
        <w:t>McGill-Queen’s University Press, 2019</w:t>
      </w:r>
      <w:r w:rsidR="00E8652E">
        <w:rPr>
          <w:rFonts w:ascii="Times New Roman" w:hAnsi="Times New Roman" w:cs="Times New Roman"/>
        </w:rPr>
        <w:t>)</w:t>
      </w:r>
      <w:r w:rsidRPr="009E54CB">
        <w:rPr>
          <w:rFonts w:ascii="Times New Roman" w:hAnsi="Times New Roman" w:cs="Times New Roman"/>
        </w:rPr>
        <w:t xml:space="preserve">. </w:t>
      </w:r>
    </w:p>
    <w:p w14:paraId="52260AC5" w14:textId="77777777" w:rsidR="00E8652E" w:rsidRDefault="00E8652E" w:rsidP="009E54CB">
      <w:pPr>
        <w:spacing w:line="360" w:lineRule="auto"/>
        <w:rPr>
          <w:rFonts w:ascii="Times New Roman" w:hAnsi="Times New Roman" w:cs="Times New Roman"/>
        </w:rPr>
      </w:pPr>
    </w:p>
    <w:p w14:paraId="187819FC" w14:textId="77777777" w:rsidR="00F2158A" w:rsidRDefault="00151882" w:rsidP="009E54CB">
      <w:pPr>
        <w:spacing w:line="360" w:lineRule="auto"/>
        <w:rPr>
          <w:rFonts w:ascii="Times New Roman" w:hAnsi="Times New Roman" w:cs="Times New Roman"/>
        </w:rPr>
      </w:pPr>
      <w:r>
        <w:rPr>
          <w:rFonts w:ascii="Times New Roman" w:hAnsi="Times New Roman" w:cs="Times New Roman"/>
        </w:rPr>
        <w:t xml:space="preserve">Impoverished people in late eighteenth and early nineteenth century England and Wales fought tenaciously for poor relief, exercising their right, as it was commonly understood, to be supported by their parish of settlement in times of need. Evidence of the strategies they employed – claiming, negotiating, demanding, pleading, defending – </w:t>
      </w:r>
      <w:r w:rsidR="00553582">
        <w:rPr>
          <w:rFonts w:ascii="Times New Roman" w:hAnsi="Times New Roman" w:cs="Times New Roman"/>
        </w:rPr>
        <w:t xml:space="preserve">show us they were not mere grateful recipients but, as has been highlighted in a number of studies over the past twenty-five years or so, had a degree of </w:t>
      </w:r>
      <w:r>
        <w:rPr>
          <w:rFonts w:ascii="Times New Roman" w:hAnsi="Times New Roman" w:cs="Times New Roman"/>
        </w:rPr>
        <w:t xml:space="preserve">agency in their </w:t>
      </w:r>
      <w:r w:rsidR="00553582">
        <w:rPr>
          <w:rFonts w:ascii="Times New Roman" w:hAnsi="Times New Roman" w:cs="Times New Roman"/>
        </w:rPr>
        <w:t>dealings</w:t>
      </w:r>
      <w:r>
        <w:rPr>
          <w:rFonts w:ascii="Times New Roman" w:hAnsi="Times New Roman" w:cs="Times New Roman"/>
        </w:rPr>
        <w:t xml:space="preserve"> with their relieving parishes.</w:t>
      </w:r>
      <w:r w:rsidR="00D87B8C">
        <w:rPr>
          <w:rFonts w:ascii="Times New Roman" w:hAnsi="Times New Roman" w:cs="Times New Roman"/>
        </w:rPr>
        <w:t xml:space="preserve"> </w:t>
      </w:r>
      <w:r w:rsidR="00F2158A">
        <w:rPr>
          <w:rFonts w:ascii="Times New Roman" w:hAnsi="Times New Roman" w:cs="Times New Roman"/>
        </w:rPr>
        <w:t xml:space="preserve">Steven King is one of many to have </w:t>
      </w:r>
      <w:r w:rsidR="00D87B8C">
        <w:rPr>
          <w:rFonts w:ascii="Times New Roman" w:hAnsi="Times New Roman" w:cs="Times New Roman"/>
        </w:rPr>
        <w:t>used letters written by paupers to demonstrate how they framed their claims for relief and how they conceived of their relationships with their parish authorities and wider communities</w:t>
      </w:r>
      <w:r w:rsidR="00E80DD0">
        <w:rPr>
          <w:rFonts w:ascii="Times New Roman" w:hAnsi="Times New Roman" w:cs="Times New Roman"/>
        </w:rPr>
        <w:t xml:space="preserve">. This book takes a significant step forward in developing the field of research. </w:t>
      </w:r>
    </w:p>
    <w:p w14:paraId="52899A09" w14:textId="77777777" w:rsidR="00F2158A" w:rsidRDefault="00DB5CC7" w:rsidP="00F2158A">
      <w:pPr>
        <w:spacing w:line="360" w:lineRule="auto"/>
        <w:rPr>
          <w:rFonts w:ascii="Times New Roman" w:hAnsi="Times New Roman" w:cs="Times New Roman"/>
        </w:rPr>
      </w:pPr>
      <w:r>
        <w:rPr>
          <w:rFonts w:ascii="Times New Roman" w:hAnsi="Times New Roman" w:cs="Times New Roman"/>
        </w:rPr>
        <w:t>Pauper letters are all over the archives</w:t>
      </w:r>
      <w:r w:rsidR="00505E5B">
        <w:rPr>
          <w:rFonts w:ascii="Times New Roman" w:hAnsi="Times New Roman" w:cs="Times New Roman"/>
        </w:rPr>
        <w:t>,</w:t>
      </w:r>
      <w:r>
        <w:rPr>
          <w:rFonts w:ascii="Times New Roman" w:hAnsi="Times New Roman" w:cs="Times New Roman"/>
        </w:rPr>
        <w:t xml:space="preserve"> distributed across local and county record offices, </w:t>
      </w:r>
      <w:proofErr w:type="gramStart"/>
      <w:r>
        <w:rPr>
          <w:rFonts w:ascii="Times New Roman" w:hAnsi="Times New Roman" w:cs="Times New Roman"/>
        </w:rPr>
        <w:t>libraries</w:t>
      </w:r>
      <w:proofErr w:type="gramEnd"/>
      <w:r>
        <w:rPr>
          <w:rFonts w:ascii="Times New Roman" w:hAnsi="Times New Roman" w:cs="Times New Roman"/>
        </w:rPr>
        <w:t xml:space="preserve"> and collections of private papers. For this reason, much of the work on them until now has consisted of regional or county studies. </w:t>
      </w:r>
      <w:proofErr w:type="gramStart"/>
      <w:r w:rsidR="00355484">
        <w:rPr>
          <w:rFonts w:ascii="Times New Roman" w:hAnsi="Times New Roman" w:cs="Times New Roman"/>
        </w:rPr>
        <w:t>In the course of</w:t>
      </w:r>
      <w:proofErr w:type="gramEnd"/>
      <w:r w:rsidR="00355484">
        <w:rPr>
          <w:rFonts w:ascii="Times New Roman" w:hAnsi="Times New Roman" w:cs="Times New Roman"/>
        </w:rPr>
        <w:t xml:space="preserve"> the research project which led to </w:t>
      </w:r>
      <w:r w:rsidR="0074080D">
        <w:rPr>
          <w:rFonts w:ascii="Times New Roman" w:hAnsi="Times New Roman" w:cs="Times New Roman"/>
          <w:i/>
          <w:iCs/>
        </w:rPr>
        <w:t>Writing the Lives of the English Poor</w:t>
      </w:r>
      <w:r w:rsidR="00355484">
        <w:rPr>
          <w:rFonts w:ascii="Times New Roman" w:hAnsi="Times New Roman" w:cs="Times New Roman"/>
        </w:rPr>
        <w:t xml:space="preserve">, </w:t>
      </w:r>
      <w:r>
        <w:rPr>
          <w:rFonts w:ascii="Times New Roman" w:hAnsi="Times New Roman" w:cs="Times New Roman"/>
        </w:rPr>
        <w:t xml:space="preserve">King </w:t>
      </w:r>
      <w:r w:rsidR="00355484">
        <w:rPr>
          <w:rFonts w:ascii="Times New Roman" w:hAnsi="Times New Roman" w:cs="Times New Roman"/>
        </w:rPr>
        <w:t xml:space="preserve">and his team </w:t>
      </w:r>
      <w:r w:rsidR="001F3F7A">
        <w:rPr>
          <w:rFonts w:ascii="Times New Roman" w:hAnsi="Times New Roman" w:cs="Times New Roman"/>
        </w:rPr>
        <w:t>assembled a corpus of nearly 26,000 letters to and from paupers and parish overseers</w:t>
      </w:r>
      <w:r w:rsidR="008F4BCD">
        <w:rPr>
          <w:rFonts w:ascii="Times New Roman" w:hAnsi="Times New Roman" w:cs="Times New Roman"/>
        </w:rPr>
        <w:t xml:space="preserve"> in all parts of England and Wales</w:t>
      </w:r>
      <w:r w:rsidR="0074080D">
        <w:rPr>
          <w:rFonts w:ascii="Times New Roman" w:hAnsi="Times New Roman" w:cs="Times New Roman"/>
        </w:rPr>
        <w:t xml:space="preserve">. As a result, this original and important book is the product of </w:t>
      </w:r>
      <w:r w:rsidR="00355484">
        <w:rPr>
          <w:rFonts w:ascii="Times New Roman" w:hAnsi="Times New Roman" w:cs="Times New Roman"/>
        </w:rPr>
        <w:t>a more systematic approach</w:t>
      </w:r>
      <w:r w:rsidR="00BE2ADB">
        <w:rPr>
          <w:rFonts w:ascii="Times New Roman" w:hAnsi="Times New Roman" w:cs="Times New Roman"/>
        </w:rPr>
        <w:t>, and is</w:t>
      </w:r>
      <w:r w:rsidR="00355484">
        <w:rPr>
          <w:rFonts w:ascii="Times New Roman" w:hAnsi="Times New Roman" w:cs="Times New Roman"/>
        </w:rPr>
        <w:t xml:space="preserve"> on a wider scale</w:t>
      </w:r>
      <w:r w:rsidR="00BE2ADB">
        <w:rPr>
          <w:rFonts w:ascii="Times New Roman" w:hAnsi="Times New Roman" w:cs="Times New Roman"/>
        </w:rPr>
        <w:t>,</w:t>
      </w:r>
      <w:r w:rsidR="00355484">
        <w:rPr>
          <w:rFonts w:ascii="Times New Roman" w:hAnsi="Times New Roman" w:cs="Times New Roman"/>
        </w:rPr>
        <w:t xml:space="preserve"> than has been attempted hitherto. </w:t>
      </w:r>
      <w:r w:rsidR="00F2158A">
        <w:rPr>
          <w:rFonts w:ascii="Times New Roman" w:hAnsi="Times New Roman" w:cs="Times New Roman"/>
        </w:rPr>
        <w:t xml:space="preserve">This gives it a broader geographic and temporal span than earlier </w:t>
      </w:r>
      <w:proofErr w:type="gramStart"/>
      <w:r w:rsidR="00F2158A">
        <w:rPr>
          <w:rFonts w:ascii="Times New Roman" w:hAnsi="Times New Roman" w:cs="Times New Roman"/>
        </w:rPr>
        <w:t>works, and</w:t>
      </w:r>
      <w:proofErr w:type="gramEnd"/>
      <w:r w:rsidR="00F2158A">
        <w:rPr>
          <w:rFonts w:ascii="Times New Roman" w:hAnsi="Times New Roman" w:cs="Times New Roman"/>
        </w:rPr>
        <w:t xml:space="preserve"> enables an empirical approach to the development of an analytical framework. </w:t>
      </w:r>
      <w:r w:rsidR="005D085F">
        <w:rPr>
          <w:rFonts w:ascii="Times New Roman" w:hAnsi="Times New Roman" w:cs="Times New Roman"/>
        </w:rPr>
        <w:t xml:space="preserve">The </w:t>
      </w:r>
      <w:r w:rsidR="004258D7">
        <w:rPr>
          <w:rFonts w:ascii="Times New Roman" w:hAnsi="Times New Roman" w:cs="Times New Roman"/>
        </w:rPr>
        <w:t xml:space="preserve">book’s </w:t>
      </w:r>
      <w:r w:rsidR="005D085F">
        <w:rPr>
          <w:rFonts w:ascii="Times New Roman" w:hAnsi="Times New Roman" w:cs="Times New Roman"/>
        </w:rPr>
        <w:t>focus is on England, and work on Wales is due to be published by King’s colleague on the research project Ben Harvey.</w:t>
      </w:r>
    </w:p>
    <w:p w14:paraId="03E71BAC" w14:textId="77777777" w:rsidR="00B3554C" w:rsidRDefault="00024446" w:rsidP="009E54CB">
      <w:pPr>
        <w:spacing w:line="360" w:lineRule="auto"/>
        <w:rPr>
          <w:rFonts w:ascii="Times New Roman" w:hAnsi="Times New Roman" w:cs="Times New Roman"/>
        </w:rPr>
      </w:pPr>
      <w:r>
        <w:rPr>
          <w:rFonts w:ascii="Times New Roman" w:hAnsi="Times New Roman" w:cs="Times New Roman"/>
        </w:rPr>
        <w:t>The book begins with a focus</w:t>
      </w:r>
      <w:r w:rsidR="008F4BCD">
        <w:rPr>
          <w:rFonts w:ascii="Times New Roman" w:hAnsi="Times New Roman" w:cs="Times New Roman"/>
        </w:rPr>
        <w:t xml:space="preserve"> on the materiality of the letters</w:t>
      </w:r>
      <w:r w:rsidR="00B849E8">
        <w:rPr>
          <w:rFonts w:ascii="Times New Roman" w:hAnsi="Times New Roman" w:cs="Times New Roman"/>
        </w:rPr>
        <w:t xml:space="preserve"> and on the process of writing, </w:t>
      </w:r>
      <w:proofErr w:type="gramStart"/>
      <w:r w:rsidR="00B849E8">
        <w:rPr>
          <w:rFonts w:ascii="Times New Roman" w:hAnsi="Times New Roman" w:cs="Times New Roman"/>
        </w:rPr>
        <w:t>sending</w:t>
      </w:r>
      <w:proofErr w:type="gramEnd"/>
      <w:r w:rsidR="00B849E8">
        <w:rPr>
          <w:rFonts w:ascii="Times New Roman" w:hAnsi="Times New Roman" w:cs="Times New Roman"/>
        </w:rPr>
        <w:t xml:space="preserve"> and receiving them</w:t>
      </w:r>
      <w:r w:rsidR="008F4BCD">
        <w:rPr>
          <w:rFonts w:ascii="Times New Roman" w:hAnsi="Times New Roman" w:cs="Times New Roman"/>
        </w:rPr>
        <w:t xml:space="preserve"> as much as </w:t>
      </w:r>
      <w:r w:rsidR="00B849E8">
        <w:rPr>
          <w:rFonts w:ascii="Times New Roman" w:hAnsi="Times New Roman" w:cs="Times New Roman"/>
        </w:rPr>
        <w:t xml:space="preserve">on </w:t>
      </w:r>
      <w:r w:rsidR="008F4BCD">
        <w:rPr>
          <w:rFonts w:ascii="Times New Roman" w:hAnsi="Times New Roman" w:cs="Times New Roman"/>
        </w:rPr>
        <w:t>the</w:t>
      </w:r>
      <w:r w:rsidR="00B849E8">
        <w:rPr>
          <w:rFonts w:ascii="Times New Roman" w:hAnsi="Times New Roman" w:cs="Times New Roman"/>
        </w:rPr>
        <w:t>ir</w:t>
      </w:r>
      <w:r w:rsidR="008F4BCD">
        <w:rPr>
          <w:rFonts w:ascii="Times New Roman" w:hAnsi="Times New Roman" w:cs="Times New Roman"/>
        </w:rPr>
        <w:t xml:space="preserve"> content</w:t>
      </w:r>
      <w:r w:rsidR="00B849E8">
        <w:rPr>
          <w:rFonts w:ascii="Times New Roman" w:hAnsi="Times New Roman" w:cs="Times New Roman"/>
        </w:rPr>
        <w:t xml:space="preserve">. </w:t>
      </w:r>
      <w:r>
        <w:rPr>
          <w:rFonts w:ascii="Times New Roman" w:hAnsi="Times New Roman" w:cs="Times New Roman"/>
        </w:rPr>
        <w:t>King</w:t>
      </w:r>
      <w:r w:rsidR="008F4BCD">
        <w:rPr>
          <w:rFonts w:ascii="Times New Roman" w:hAnsi="Times New Roman" w:cs="Times New Roman"/>
        </w:rPr>
        <w:t xml:space="preserve"> </w:t>
      </w:r>
      <w:r w:rsidR="00B849E8">
        <w:rPr>
          <w:rFonts w:ascii="Times New Roman" w:hAnsi="Times New Roman" w:cs="Times New Roman"/>
        </w:rPr>
        <w:t xml:space="preserve">emphasises the significance of different qualities of paper, of concerns about postage costs, and of the strategic use of requesting that replies be sent via a third party, a tactic which might increase confidence in a claimant’s trustworthiness. </w:t>
      </w:r>
      <w:r w:rsidR="00022EE1">
        <w:rPr>
          <w:rFonts w:ascii="Times New Roman" w:hAnsi="Times New Roman" w:cs="Times New Roman"/>
        </w:rPr>
        <w:t>Claimants had to strike the most appropriate tone</w:t>
      </w:r>
      <w:r w:rsidR="005161D9">
        <w:rPr>
          <w:rFonts w:ascii="Times New Roman" w:hAnsi="Times New Roman" w:cs="Times New Roman"/>
        </w:rPr>
        <w:t xml:space="preserve"> and know when to change it. </w:t>
      </w:r>
      <w:r w:rsidR="00201C9D">
        <w:rPr>
          <w:rFonts w:ascii="Times New Roman" w:hAnsi="Times New Roman" w:cs="Times New Roman"/>
        </w:rPr>
        <w:t>What, for example, w</w:t>
      </w:r>
      <w:r w:rsidR="005161D9">
        <w:rPr>
          <w:rFonts w:ascii="Times New Roman" w:hAnsi="Times New Roman" w:cs="Times New Roman"/>
        </w:rPr>
        <w:t>ould be more effective</w:t>
      </w:r>
      <w:r w:rsidR="00201C9D">
        <w:rPr>
          <w:rFonts w:ascii="Times New Roman" w:hAnsi="Times New Roman" w:cs="Times New Roman"/>
        </w:rPr>
        <w:t xml:space="preserve"> given the circumstances: </w:t>
      </w:r>
      <w:r w:rsidR="005161D9">
        <w:rPr>
          <w:rFonts w:ascii="Times New Roman" w:hAnsi="Times New Roman" w:cs="Times New Roman"/>
        </w:rPr>
        <w:t xml:space="preserve">the formality of a letter by post, or the urgency of hand delivery? </w:t>
      </w:r>
      <w:r w:rsidR="00CF7C60">
        <w:rPr>
          <w:rFonts w:ascii="Times New Roman" w:hAnsi="Times New Roman" w:cs="Times New Roman"/>
        </w:rPr>
        <w:t>There are some hints of patterns</w:t>
      </w:r>
      <w:r w:rsidR="002936AD">
        <w:rPr>
          <w:rFonts w:ascii="Times New Roman" w:hAnsi="Times New Roman" w:cs="Times New Roman"/>
        </w:rPr>
        <w:t>:</w:t>
      </w:r>
      <w:r w:rsidR="00CF7C60">
        <w:rPr>
          <w:rFonts w:ascii="Times New Roman" w:hAnsi="Times New Roman" w:cs="Times New Roman"/>
        </w:rPr>
        <w:t xml:space="preserve"> requests for very large payments such as rent arrears tended to be shorter and more to the point than </w:t>
      </w:r>
      <w:r w:rsidR="002936AD">
        <w:rPr>
          <w:rFonts w:ascii="Times New Roman" w:hAnsi="Times New Roman" w:cs="Times New Roman"/>
        </w:rPr>
        <w:t>those asking for a ‘trifle’, for example. However,</w:t>
      </w:r>
      <w:r w:rsidR="004456CC">
        <w:rPr>
          <w:rFonts w:ascii="Times New Roman" w:hAnsi="Times New Roman" w:cs="Times New Roman"/>
        </w:rPr>
        <w:t xml:space="preserve"> King notes that it is impossible to relate the monetary value of requests to any other feature of the correspondence </w:t>
      </w:r>
      <w:r w:rsidR="004456CC">
        <w:rPr>
          <w:rFonts w:ascii="Times New Roman" w:hAnsi="Times New Roman" w:cs="Times New Roman"/>
        </w:rPr>
        <w:lastRenderedPageBreak/>
        <w:t>because of the</w:t>
      </w:r>
      <w:r w:rsidR="002936AD">
        <w:rPr>
          <w:rFonts w:ascii="Times New Roman" w:hAnsi="Times New Roman" w:cs="Times New Roman"/>
        </w:rPr>
        <w:t xml:space="preserve"> vagueness of applications </w:t>
      </w:r>
      <w:r w:rsidR="00110C1C">
        <w:rPr>
          <w:rFonts w:ascii="Times New Roman" w:hAnsi="Times New Roman" w:cs="Times New Roman"/>
        </w:rPr>
        <w:t xml:space="preserve">– most did not specify an amount – </w:t>
      </w:r>
      <w:r w:rsidR="004456CC">
        <w:rPr>
          <w:rFonts w:ascii="Times New Roman" w:hAnsi="Times New Roman" w:cs="Times New Roman"/>
        </w:rPr>
        <w:t xml:space="preserve">and the fact that they were often distributed across a series of letters. </w:t>
      </w:r>
    </w:p>
    <w:p w14:paraId="541D4523" w14:textId="77777777" w:rsidR="00F2158A" w:rsidRDefault="00F2158A" w:rsidP="009E54CB">
      <w:pPr>
        <w:spacing w:line="360" w:lineRule="auto"/>
        <w:rPr>
          <w:rFonts w:ascii="Times New Roman" w:hAnsi="Times New Roman" w:cs="Times New Roman"/>
        </w:rPr>
      </w:pPr>
      <w:r>
        <w:rPr>
          <w:rFonts w:ascii="Times New Roman" w:hAnsi="Times New Roman" w:cs="Times New Roman"/>
        </w:rPr>
        <w:t xml:space="preserve">The discussion of how parish officials received letters from the poor asks the important question, what might success look like for an applicant for relief? Writers might </w:t>
      </w:r>
      <w:r w:rsidR="00110C1C">
        <w:rPr>
          <w:rFonts w:ascii="Times New Roman" w:hAnsi="Times New Roman" w:cs="Times New Roman"/>
        </w:rPr>
        <w:t>be subject to</w:t>
      </w:r>
      <w:r>
        <w:rPr>
          <w:rFonts w:ascii="Times New Roman" w:hAnsi="Times New Roman" w:cs="Times New Roman"/>
        </w:rPr>
        <w:t xml:space="preserve"> refusals, delays, </w:t>
      </w:r>
      <w:r w:rsidR="00110C1C">
        <w:rPr>
          <w:rFonts w:ascii="Times New Roman" w:hAnsi="Times New Roman" w:cs="Times New Roman"/>
        </w:rPr>
        <w:t xml:space="preserve">or </w:t>
      </w:r>
      <w:r>
        <w:rPr>
          <w:rFonts w:ascii="Times New Roman" w:hAnsi="Times New Roman" w:cs="Times New Roman"/>
        </w:rPr>
        <w:t>inadequate or irregular allowances</w:t>
      </w:r>
      <w:r w:rsidR="00110C1C">
        <w:rPr>
          <w:rFonts w:ascii="Times New Roman" w:hAnsi="Times New Roman" w:cs="Times New Roman"/>
        </w:rPr>
        <w:t xml:space="preserve">. Yet if we see an application as a starting (or continuing) point of a negotiation, perhaps many </w:t>
      </w:r>
      <w:r w:rsidR="00E34ECA">
        <w:rPr>
          <w:rFonts w:ascii="Times New Roman" w:hAnsi="Times New Roman" w:cs="Times New Roman"/>
        </w:rPr>
        <w:t xml:space="preserve">writers </w:t>
      </w:r>
      <w:r w:rsidR="00110C1C">
        <w:rPr>
          <w:rFonts w:ascii="Times New Roman" w:hAnsi="Times New Roman" w:cs="Times New Roman"/>
        </w:rPr>
        <w:t xml:space="preserve">aimed high and expected less. King usefully suggests that instead of thinking in terms of </w:t>
      </w:r>
      <w:r w:rsidR="00665FA3">
        <w:rPr>
          <w:rFonts w:ascii="Times New Roman" w:hAnsi="Times New Roman" w:cs="Times New Roman"/>
        </w:rPr>
        <w:t>“</w:t>
      </w:r>
      <w:r w:rsidR="00110C1C">
        <w:rPr>
          <w:rFonts w:ascii="Times New Roman" w:hAnsi="Times New Roman" w:cs="Times New Roman"/>
        </w:rPr>
        <w:t>binary concepts of success and failure</w:t>
      </w:r>
      <w:r w:rsidR="00665FA3">
        <w:rPr>
          <w:rFonts w:ascii="Times New Roman" w:hAnsi="Times New Roman" w:cs="Times New Roman"/>
        </w:rPr>
        <w:t>”</w:t>
      </w:r>
      <w:r w:rsidR="00110C1C">
        <w:rPr>
          <w:rFonts w:ascii="Times New Roman" w:hAnsi="Times New Roman" w:cs="Times New Roman"/>
        </w:rPr>
        <w:t xml:space="preserve"> we should adopt </w:t>
      </w:r>
      <w:r w:rsidR="00665FA3">
        <w:rPr>
          <w:rFonts w:ascii="Times New Roman" w:hAnsi="Times New Roman" w:cs="Times New Roman"/>
        </w:rPr>
        <w:t>“</w:t>
      </w:r>
      <w:r w:rsidR="00110C1C">
        <w:rPr>
          <w:rFonts w:ascii="Times New Roman" w:hAnsi="Times New Roman" w:cs="Times New Roman"/>
        </w:rPr>
        <w:t>experiential and mutable indicators such as hope and disappointment</w:t>
      </w:r>
      <w:r w:rsidR="00665FA3">
        <w:rPr>
          <w:rFonts w:ascii="Times New Roman" w:hAnsi="Times New Roman" w:cs="Times New Roman"/>
        </w:rPr>
        <w:t>”</w:t>
      </w:r>
      <w:r w:rsidR="00110C1C">
        <w:rPr>
          <w:rFonts w:ascii="Times New Roman" w:hAnsi="Times New Roman" w:cs="Times New Roman"/>
        </w:rPr>
        <w:t xml:space="preserve"> (110). </w:t>
      </w:r>
      <w:r w:rsidR="00E34ECA">
        <w:rPr>
          <w:rFonts w:ascii="Times New Roman" w:hAnsi="Times New Roman" w:cs="Times New Roman"/>
        </w:rPr>
        <w:t xml:space="preserve">Context, therefore, is all, and we should look not simply to absolute sums of money but also to individual and local circumstances to understand how generous or otherwise a payment </w:t>
      </w:r>
      <w:r w:rsidR="00E80DD0">
        <w:rPr>
          <w:rFonts w:ascii="Times New Roman" w:hAnsi="Times New Roman" w:cs="Times New Roman"/>
        </w:rPr>
        <w:t xml:space="preserve">– or indeed a parish – </w:t>
      </w:r>
      <w:r w:rsidR="00E34ECA">
        <w:rPr>
          <w:rFonts w:ascii="Times New Roman" w:hAnsi="Times New Roman" w:cs="Times New Roman"/>
        </w:rPr>
        <w:t xml:space="preserve">might be. </w:t>
      </w:r>
    </w:p>
    <w:p w14:paraId="01F23DA4" w14:textId="77777777" w:rsidR="009C7303" w:rsidRDefault="001D3AC6" w:rsidP="009E54CB">
      <w:pPr>
        <w:spacing w:line="360" w:lineRule="auto"/>
        <w:rPr>
          <w:rFonts w:ascii="Times New Roman" w:hAnsi="Times New Roman" w:cs="Times New Roman"/>
        </w:rPr>
      </w:pPr>
      <w:r>
        <w:rPr>
          <w:rFonts w:ascii="Times New Roman" w:hAnsi="Times New Roman" w:cs="Times New Roman"/>
        </w:rPr>
        <w:t xml:space="preserve">One of the book’s most useful contributions is a framework for understanding the rhetorical moves employed by writers. </w:t>
      </w:r>
      <w:r w:rsidR="00A966DD">
        <w:rPr>
          <w:rFonts w:ascii="Times New Roman" w:hAnsi="Times New Roman" w:cs="Times New Roman"/>
        </w:rPr>
        <w:t xml:space="preserve">King sets out a broad typology of letters: </w:t>
      </w:r>
      <w:r>
        <w:rPr>
          <w:rFonts w:ascii="Times New Roman" w:hAnsi="Times New Roman" w:cs="Times New Roman"/>
        </w:rPr>
        <w:t>those instigating correspondence, requests to renew relief, requests to change relief type, testamentary statements of condition, notes of desperation, statements of finality of status such as the prospect of death, and other</w:t>
      </w:r>
      <w:r w:rsidR="00A966DD">
        <w:rPr>
          <w:rFonts w:ascii="Times New Roman" w:hAnsi="Times New Roman" w:cs="Times New Roman"/>
        </w:rPr>
        <w:t xml:space="preserve"> letters</w:t>
      </w:r>
      <w:r>
        <w:rPr>
          <w:rFonts w:ascii="Times New Roman" w:hAnsi="Times New Roman" w:cs="Times New Roman"/>
        </w:rPr>
        <w:t xml:space="preserve"> interspersed </w:t>
      </w:r>
      <w:r w:rsidR="00A966DD">
        <w:rPr>
          <w:rFonts w:ascii="Times New Roman" w:hAnsi="Times New Roman" w:cs="Times New Roman"/>
        </w:rPr>
        <w:t>throughout</w:t>
      </w:r>
      <w:r>
        <w:rPr>
          <w:rFonts w:ascii="Times New Roman" w:hAnsi="Times New Roman" w:cs="Times New Roman"/>
        </w:rPr>
        <w:t xml:space="preserve"> the course of correspondence</w:t>
      </w:r>
      <w:r w:rsidR="00A966DD">
        <w:rPr>
          <w:rFonts w:ascii="Times New Roman" w:hAnsi="Times New Roman" w:cs="Times New Roman"/>
        </w:rPr>
        <w:t xml:space="preserve">. Each of these types of letter contains its own set of common narrative features, some unique altogether to the letter type and others found in more than one but with specific qualities. Notes of desperation, for example, </w:t>
      </w:r>
      <w:r w:rsidR="0039706C">
        <w:rPr>
          <w:rFonts w:ascii="Times New Roman" w:hAnsi="Times New Roman" w:cs="Times New Roman"/>
        </w:rPr>
        <w:t>were characterised by containing</w:t>
      </w:r>
      <w:r w:rsidR="00A966DD">
        <w:rPr>
          <w:rFonts w:ascii="Times New Roman" w:hAnsi="Times New Roman" w:cs="Times New Roman"/>
        </w:rPr>
        <w:t xml:space="preserve"> references to </w:t>
      </w:r>
      <w:r w:rsidR="00665FA3">
        <w:rPr>
          <w:rFonts w:ascii="Times New Roman" w:hAnsi="Times New Roman" w:cs="Times New Roman"/>
        </w:rPr>
        <w:t>the running out of time and to hopelessness</w:t>
      </w:r>
      <w:r w:rsidR="00A966DD">
        <w:rPr>
          <w:rFonts w:ascii="Times New Roman" w:hAnsi="Times New Roman" w:cs="Times New Roman"/>
        </w:rPr>
        <w:t xml:space="preserve">. Appeals to dignity, </w:t>
      </w:r>
      <w:r w:rsidR="0039706C">
        <w:rPr>
          <w:rFonts w:ascii="Times New Roman" w:hAnsi="Times New Roman" w:cs="Times New Roman"/>
        </w:rPr>
        <w:t>meanwhile</w:t>
      </w:r>
      <w:r w:rsidR="00A966DD">
        <w:rPr>
          <w:rFonts w:ascii="Times New Roman" w:hAnsi="Times New Roman" w:cs="Times New Roman"/>
        </w:rPr>
        <w:t xml:space="preserve">, are found in several types of letter, whether drawing attention to the prospect of shame, or stating that a humiliation has already taken place. Across all types of letters is a backdrop of </w:t>
      </w:r>
      <w:r w:rsidR="00665FA3">
        <w:rPr>
          <w:rFonts w:ascii="Times New Roman" w:hAnsi="Times New Roman" w:cs="Times New Roman"/>
        </w:rPr>
        <w:t>“</w:t>
      </w:r>
      <w:r w:rsidR="00A966DD">
        <w:rPr>
          <w:rFonts w:ascii="Times New Roman" w:hAnsi="Times New Roman" w:cs="Times New Roman"/>
        </w:rPr>
        <w:t>struggle, custom, law, right, duty, friendship</w:t>
      </w:r>
      <w:r w:rsidR="00665FA3">
        <w:rPr>
          <w:rFonts w:ascii="Times New Roman" w:hAnsi="Times New Roman" w:cs="Times New Roman"/>
        </w:rPr>
        <w:t xml:space="preserve">, and humanitarianism” (197-8), and King sets out examples of paupers strategically deploying each. </w:t>
      </w:r>
      <w:r w:rsidR="00582370">
        <w:rPr>
          <w:rFonts w:ascii="Times New Roman" w:hAnsi="Times New Roman" w:cs="Times New Roman"/>
        </w:rPr>
        <w:t>There was, he finds, an increased use of references to the law over the perio</w:t>
      </w:r>
      <w:r w:rsidR="009C7303">
        <w:rPr>
          <w:rFonts w:ascii="Times New Roman" w:hAnsi="Times New Roman" w:cs="Times New Roman"/>
        </w:rPr>
        <w:t xml:space="preserve">d, though this </w:t>
      </w:r>
      <w:r w:rsidR="00A64E0C">
        <w:rPr>
          <w:rFonts w:ascii="Times New Roman" w:hAnsi="Times New Roman" w:cs="Times New Roman"/>
        </w:rPr>
        <w:t>is</w:t>
      </w:r>
      <w:r w:rsidR="009C7303">
        <w:rPr>
          <w:rFonts w:ascii="Times New Roman" w:hAnsi="Times New Roman" w:cs="Times New Roman"/>
        </w:rPr>
        <w:t xml:space="preserve"> not quantified, and </w:t>
      </w:r>
      <w:r w:rsidR="004258D7">
        <w:rPr>
          <w:rFonts w:ascii="Times New Roman" w:hAnsi="Times New Roman" w:cs="Times New Roman"/>
        </w:rPr>
        <w:t>neither</w:t>
      </w:r>
      <w:r w:rsidR="009C7303">
        <w:rPr>
          <w:rFonts w:ascii="Times New Roman" w:hAnsi="Times New Roman" w:cs="Times New Roman"/>
        </w:rPr>
        <w:t xml:space="preserve"> are the numbers of letters in each category</w:t>
      </w:r>
      <w:r w:rsidR="004258D7">
        <w:rPr>
          <w:rFonts w:ascii="Times New Roman" w:hAnsi="Times New Roman" w:cs="Times New Roman"/>
        </w:rPr>
        <w:t>. There is also, perhaps, room for more detailed geographical comparisons</w:t>
      </w:r>
      <w:r w:rsidR="00582370">
        <w:rPr>
          <w:rFonts w:ascii="Times New Roman" w:hAnsi="Times New Roman" w:cs="Times New Roman"/>
        </w:rPr>
        <w:t>.</w:t>
      </w:r>
    </w:p>
    <w:p w14:paraId="45335B99" w14:textId="77777777" w:rsidR="00A52B02" w:rsidRDefault="00122462" w:rsidP="009E54CB">
      <w:pPr>
        <w:spacing w:line="360" w:lineRule="auto"/>
        <w:rPr>
          <w:rFonts w:ascii="Times New Roman" w:hAnsi="Times New Roman" w:cs="Times New Roman"/>
        </w:rPr>
      </w:pPr>
      <w:r>
        <w:rPr>
          <w:rFonts w:ascii="Times New Roman" w:hAnsi="Times New Roman" w:cs="Times New Roman"/>
        </w:rPr>
        <w:t>The</w:t>
      </w:r>
      <w:r w:rsidR="00A64E0C">
        <w:rPr>
          <w:rFonts w:ascii="Times New Roman" w:hAnsi="Times New Roman" w:cs="Times New Roman"/>
        </w:rPr>
        <w:t xml:space="preserve"> book</w:t>
      </w:r>
      <w:r>
        <w:rPr>
          <w:rFonts w:ascii="Times New Roman" w:hAnsi="Times New Roman" w:cs="Times New Roman"/>
        </w:rPr>
        <w:t>’s final section considers conceptions of identity and interiority among the letter writers</w:t>
      </w:r>
      <w:r w:rsidR="00A52B02">
        <w:rPr>
          <w:rFonts w:ascii="Times New Roman" w:hAnsi="Times New Roman" w:cs="Times New Roman"/>
        </w:rPr>
        <w:t>.</w:t>
      </w:r>
      <w:r w:rsidR="00A52B02" w:rsidRPr="00A52B02">
        <w:rPr>
          <w:rFonts w:ascii="Times New Roman" w:hAnsi="Times New Roman" w:cs="Times New Roman"/>
        </w:rPr>
        <w:t xml:space="preserve"> </w:t>
      </w:r>
      <w:r w:rsidR="00A52B02">
        <w:rPr>
          <w:rFonts w:ascii="Times New Roman" w:hAnsi="Times New Roman" w:cs="Times New Roman"/>
        </w:rPr>
        <w:t>Especially telling are the examples of writers who, having received relief and thereby gained the status of pauper, were keen to undermine the label and its associated stigma.</w:t>
      </w:r>
    </w:p>
    <w:p w14:paraId="5E4DDE11" w14:textId="77777777" w:rsidR="00A64E0C" w:rsidRDefault="00A52B02" w:rsidP="009E54CB">
      <w:pPr>
        <w:spacing w:line="360" w:lineRule="auto"/>
        <w:rPr>
          <w:rFonts w:ascii="Times New Roman" w:hAnsi="Times New Roman" w:cs="Times New Roman"/>
        </w:rPr>
      </w:pPr>
      <w:r>
        <w:rPr>
          <w:rFonts w:ascii="Times New Roman" w:hAnsi="Times New Roman" w:cs="Times New Roman"/>
        </w:rPr>
        <w:t xml:space="preserve">King also </w:t>
      </w:r>
      <w:r w:rsidR="00A64E0C">
        <w:rPr>
          <w:rFonts w:ascii="Times New Roman" w:hAnsi="Times New Roman" w:cs="Times New Roman"/>
        </w:rPr>
        <w:t xml:space="preserve">finds evidence to support the impression that the concept of </w:t>
      </w:r>
      <w:r w:rsidR="00D732EA">
        <w:rPr>
          <w:rFonts w:ascii="Times New Roman" w:hAnsi="Times New Roman" w:cs="Times New Roman"/>
        </w:rPr>
        <w:t>selfhood</w:t>
      </w:r>
      <w:r w:rsidR="00A64E0C">
        <w:rPr>
          <w:rFonts w:ascii="Times New Roman" w:hAnsi="Times New Roman" w:cs="Times New Roman"/>
        </w:rPr>
        <w:t xml:space="preserve"> changed </w:t>
      </w:r>
      <w:r w:rsidR="00122462">
        <w:rPr>
          <w:rFonts w:ascii="Times New Roman" w:hAnsi="Times New Roman" w:cs="Times New Roman"/>
        </w:rPr>
        <w:t>somewhat</w:t>
      </w:r>
      <w:r w:rsidR="00A64E0C">
        <w:rPr>
          <w:rFonts w:ascii="Times New Roman" w:hAnsi="Times New Roman" w:cs="Times New Roman"/>
        </w:rPr>
        <w:t xml:space="preserve"> over the course of the late eighteenth century. </w:t>
      </w:r>
      <w:r>
        <w:rPr>
          <w:rFonts w:ascii="Times New Roman" w:hAnsi="Times New Roman" w:cs="Times New Roman"/>
        </w:rPr>
        <w:t>He</w:t>
      </w:r>
      <w:r w:rsidR="00122462">
        <w:rPr>
          <w:rFonts w:ascii="Times New Roman" w:hAnsi="Times New Roman" w:cs="Times New Roman"/>
        </w:rPr>
        <w:t xml:space="preserve"> is careful to surround any claims of a new selfhood with caveats </w:t>
      </w:r>
      <w:r w:rsidR="005D085F">
        <w:rPr>
          <w:rFonts w:ascii="Times New Roman" w:hAnsi="Times New Roman" w:cs="Times New Roman"/>
        </w:rPr>
        <w:t>regarding</w:t>
      </w:r>
      <w:r w:rsidR="00122462">
        <w:rPr>
          <w:rFonts w:ascii="Times New Roman" w:hAnsi="Times New Roman" w:cs="Times New Roman"/>
        </w:rPr>
        <w:t xml:space="preserve"> the purposes of the correspondence and the ambiguities of the material, but if such evidence is to be found anywhere, it is surely in a corpus of texts </w:t>
      </w:r>
      <w:r w:rsidR="00D732EA">
        <w:rPr>
          <w:rFonts w:ascii="Times New Roman" w:hAnsi="Times New Roman" w:cs="Times New Roman"/>
        </w:rPr>
        <w:t>with the common theme of</w:t>
      </w:r>
      <w:r w:rsidR="00122462">
        <w:rPr>
          <w:rFonts w:ascii="Times New Roman" w:hAnsi="Times New Roman" w:cs="Times New Roman"/>
        </w:rPr>
        <w:t xml:space="preserve"> the assertion of </w:t>
      </w:r>
      <w:r w:rsidR="00D732EA">
        <w:rPr>
          <w:rFonts w:ascii="Times New Roman" w:hAnsi="Times New Roman" w:cs="Times New Roman"/>
        </w:rPr>
        <w:t>personal</w:t>
      </w:r>
      <w:r w:rsidR="00122462">
        <w:rPr>
          <w:rFonts w:ascii="Times New Roman" w:hAnsi="Times New Roman" w:cs="Times New Roman"/>
        </w:rPr>
        <w:t xml:space="preserve"> agency. </w:t>
      </w:r>
    </w:p>
    <w:p w14:paraId="6C4D08B7" w14:textId="77777777" w:rsidR="004A2262" w:rsidRDefault="00F31216" w:rsidP="009E54CB">
      <w:pPr>
        <w:spacing w:line="360" w:lineRule="auto"/>
        <w:rPr>
          <w:rFonts w:ascii="Times New Roman" w:hAnsi="Times New Roman" w:cs="Times New Roman"/>
        </w:rPr>
      </w:pPr>
      <w:r>
        <w:rPr>
          <w:rFonts w:ascii="Times New Roman" w:hAnsi="Times New Roman" w:cs="Times New Roman"/>
        </w:rPr>
        <w:lastRenderedPageBreak/>
        <w:t>This book is as much about literacy, rhetoric, technologies of communication, storytelling</w:t>
      </w:r>
      <w:r w:rsidR="000A7223">
        <w:rPr>
          <w:rFonts w:ascii="Times New Roman" w:hAnsi="Times New Roman" w:cs="Times New Roman"/>
        </w:rPr>
        <w:t xml:space="preserve">, </w:t>
      </w:r>
      <w:proofErr w:type="gramStart"/>
      <w:r w:rsidR="00A52B02">
        <w:rPr>
          <w:rFonts w:ascii="Times New Roman" w:hAnsi="Times New Roman" w:cs="Times New Roman"/>
        </w:rPr>
        <w:t>negotiation</w:t>
      </w:r>
      <w:proofErr w:type="gramEnd"/>
      <w:r w:rsidR="00A52B02">
        <w:rPr>
          <w:rFonts w:ascii="Times New Roman" w:hAnsi="Times New Roman" w:cs="Times New Roman"/>
        </w:rPr>
        <w:t xml:space="preserve"> and </w:t>
      </w:r>
      <w:r>
        <w:rPr>
          <w:rFonts w:ascii="Times New Roman" w:hAnsi="Times New Roman" w:cs="Times New Roman"/>
        </w:rPr>
        <w:t xml:space="preserve">autobiographical narrative as it is about poor relief. </w:t>
      </w:r>
      <w:r w:rsidR="00C4679C">
        <w:rPr>
          <w:rFonts w:ascii="Times New Roman" w:hAnsi="Times New Roman" w:cs="Times New Roman"/>
        </w:rPr>
        <w:t xml:space="preserve">Quotations from letters start each chapter as well as being used throughout the discussion, thereby focusing attention specifically on the words of the writers. King notably avoids using vocabulary like ‘data’ which might serve to distance the reader from the distressed and anxious people </w:t>
      </w:r>
      <w:r w:rsidR="00D732EA">
        <w:rPr>
          <w:rFonts w:ascii="Times New Roman" w:hAnsi="Times New Roman" w:cs="Times New Roman"/>
        </w:rPr>
        <w:t>whom</w:t>
      </w:r>
      <w:r w:rsidR="00C4679C">
        <w:rPr>
          <w:rFonts w:ascii="Times New Roman" w:hAnsi="Times New Roman" w:cs="Times New Roman"/>
        </w:rPr>
        <w:t xml:space="preserve"> we encounter. </w:t>
      </w:r>
      <w:r w:rsidR="005D085F">
        <w:rPr>
          <w:rFonts w:ascii="Times New Roman" w:hAnsi="Times New Roman" w:cs="Times New Roman"/>
        </w:rPr>
        <w:t>P</w:t>
      </w:r>
      <w:r w:rsidR="00A52B02">
        <w:rPr>
          <w:rFonts w:ascii="Times New Roman" w:hAnsi="Times New Roman" w:cs="Times New Roman"/>
        </w:rPr>
        <w:t xml:space="preserve">arish administration </w:t>
      </w:r>
      <w:r w:rsidR="005D085F">
        <w:rPr>
          <w:rFonts w:ascii="Times New Roman" w:hAnsi="Times New Roman" w:cs="Times New Roman"/>
        </w:rPr>
        <w:t>forms</w:t>
      </w:r>
      <w:r w:rsidR="00A52B02">
        <w:rPr>
          <w:rFonts w:ascii="Times New Roman" w:hAnsi="Times New Roman" w:cs="Times New Roman"/>
        </w:rPr>
        <w:t xml:space="preserve"> the </w:t>
      </w:r>
      <w:r w:rsidR="000157D7">
        <w:rPr>
          <w:rFonts w:ascii="Times New Roman" w:hAnsi="Times New Roman" w:cs="Times New Roman"/>
        </w:rPr>
        <w:t>setting</w:t>
      </w:r>
      <w:r w:rsidR="00A52B02">
        <w:rPr>
          <w:rFonts w:ascii="Times New Roman" w:hAnsi="Times New Roman" w:cs="Times New Roman"/>
        </w:rPr>
        <w:t>, but there is little on</w:t>
      </w:r>
      <w:r w:rsidR="00757760">
        <w:rPr>
          <w:rFonts w:ascii="Times New Roman" w:hAnsi="Times New Roman" w:cs="Times New Roman"/>
        </w:rPr>
        <w:t>, for example,</w:t>
      </w:r>
      <w:r w:rsidR="00A52B02">
        <w:rPr>
          <w:rFonts w:ascii="Times New Roman" w:hAnsi="Times New Roman" w:cs="Times New Roman"/>
        </w:rPr>
        <w:t xml:space="preserve"> the intricacies of settlement law</w:t>
      </w:r>
      <w:r w:rsidR="005D085F">
        <w:rPr>
          <w:rFonts w:ascii="Times New Roman" w:hAnsi="Times New Roman" w:cs="Times New Roman"/>
        </w:rPr>
        <w:t>, which is</w:t>
      </w:r>
      <w:r w:rsidR="00757760">
        <w:rPr>
          <w:rFonts w:ascii="Times New Roman" w:hAnsi="Times New Roman" w:cs="Times New Roman"/>
        </w:rPr>
        <w:t xml:space="preserve"> </w:t>
      </w:r>
      <w:r w:rsidR="003D1BDE">
        <w:rPr>
          <w:rFonts w:ascii="Times New Roman" w:hAnsi="Times New Roman" w:cs="Times New Roman"/>
        </w:rPr>
        <w:t>probably</w:t>
      </w:r>
      <w:r w:rsidR="00757760">
        <w:rPr>
          <w:rFonts w:ascii="Times New Roman" w:hAnsi="Times New Roman" w:cs="Times New Roman"/>
        </w:rPr>
        <w:t xml:space="preserve"> a </w:t>
      </w:r>
      <w:r w:rsidR="003D1BDE">
        <w:rPr>
          <w:rFonts w:ascii="Times New Roman" w:hAnsi="Times New Roman" w:cs="Times New Roman"/>
        </w:rPr>
        <w:t>wise</w:t>
      </w:r>
      <w:r w:rsidR="00757760">
        <w:rPr>
          <w:rFonts w:ascii="Times New Roman" w:hAnsi="Times New Roman" w:cs="Times New Roman"/>
        </w:rPr>
        <w:t xml:space="preserve"> choice</w:t>
      </w:r>
      <w:r w:rsidR="00D732EA">
        <w:rPr>
          <w:rFonts w:ascii="Times New Roman" w:hAnsi="Times New Roman" w:cs="Times New Roman"/>
        </w:rPr>
        <w:t>: R</w:t>
      </w:r>
      <w:r w:rsidR="000157D7">
        <w:rPr>
          <w:rFonts w:ascii="Times New Roman" w:hAnsi="Times New Roman" w:cs="Times New Roman"/>
        </w:rPr>
        <w:t xml:space="preserve">eaders from a wide range of disciplines </w:t>
      </w:r>
      <w:r w:rsidR="00D732EA">
        <w:rPr>
          <w:rFonts w:ascii="Times New Roman" w:hAnsi="Times New Roman" w:cs="Times New Roman"/>
        </w:rPr>
        <w:t xml:space="preserve">beyond the poor law specialism </w:t>
      </w:r>
      <w:r w:rsidR="000157D7">
        <w:rPr>
          <w:rFonts w:ascii="Times New Roman" w:hAnsi="Times New Roman" w:cs="Times New Roman"/>
        </w:rPr>
        <w:t xml:space="preserve">will find it </w:t>
      </w:r>
      <w:r w:rsidR="00D732EA">
        <w:rPr>
          <w:rFonts w:ascii="Times New Roman" w:hAnsi="Times New Roman" w:cs="Times New Roman"/>
        </w:rPr>
        <w:t xml:space="preserve">as </w:t>
      </w:r>
      <w:r w:rsidR="000157D7">
        <w:rPr>
          <w:rFonts w:ascii="Times New Roman" w:hAnsi="Times New Roman" w:cs="Times New Roman"/>
        </w:rPr>
        <w:t>accessible</w:t>
      </w:r>
      <w:r w:rsidR="00D732EA">
        <w:rPr>
          <w:rFonts w:ascii="Times New Roman" w:hAnsi="Times New Roman" w:cs="Times New Roman"/>
        </w:rPr>
        <w:t xml:space="preserve"> and engaging as</w:t>
      </w:r>
      <w:r w:rsidR="00C4679C">
        <w:rPr>
          <w:rFonts w:ascii="Times New Roman" w:hAnsi="Times New Roman" w:cs="Times New Roman"/>
        </w:rPr>
        <w:t xml:space="preserve"> it is detailed and nuanced. </w:t>
      </w:r>
    </w:p>
    <w:p w14:paraId="62544CD0" w14:textId="77777777" w:rsidR="00C4679C" w:rsidRDefault="00C4679C" w:rsidP="009E54CB">
      <w:pPr>
        <w:spacing w:line="360" w:lineRule="auto"/>
        <w:rPr>
          <w:rFonts w:ascii="Times New Roman" w:hAnsi="Times New Roman" w:cs="Times New Roman"/>
        </w:rPr>
      </w:pPr>
    </w:p>
    <w:p w14:paraId="5713BCF9" w14:textId="77777777" w:rsidR="00C4679C" w:rsidRDefault="00C4679C" w:rsidP="009E54CB">
      <w:pPr>
        <w:spacing w:line="360" w:lineRule="auto"/>
        <w:rPr>
          <w:rFonts w:ascii="Times New Roman" w:hAnsi="Times New Roman" w:cs="Times New Roman"/>
        </w:rPr>
      </w:pPr>
      <w:r>
        <w:rPr>
          <w:rFonts w:ascii="Times New Roman" w:hAnsi="Times New Roman" w:cs="Times New Roman"/>
        </w:rPr>
        <w:t>Douglas H.L. Brown</w:t>
      </w:r>
    </w:p>
    <w:p w14:paraId="2B458E80" w14:textId="77777777" w:rsidR="00C4679C" w:rsidRPr="009E54CB" w:rsidRDefault="00C4679C" w:rsidP="009E54CB">
      <w:pPr>
        <w:spacing w:line="360" w:lineRule="auto"/>
        <w:rPr>
          <w:rFonts w:ascii="Times New Roman" w:hAnsi="Times New Roman" w:cs="Times New Roman"/>
        </w:rPr>
      </w:pPr>
      <w:r>
        <w:rPr>
          <w:rFonts w:ascii="Times New Roman" w:hAnsi="Times New Roman" w:cs="Times New Roman"/>
        </w:rPr>
        <w:t>Kingston University, United Kingdom</w:t>
      </w:r>
    </w:p>
    <w:sectPr w:rsidR="00C4679C" w:rsidRPr="009E54CB" w:rsidSect="00065B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arnock Pro">
    <w:panose1 w:val="00000000000000000000"/>
    <w:charset w:val="00"/>
    <w:family w:val="roman"/>
    <w:notTrueType/>
    <w:pitch w:val="variable"/>
    <w:sig w:usb0="A00002AF" w:usb1="5000205B" w:usb2="00000000" w:usb3="00000000" w:csb0="000000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C7A7686"/>
    <w:lvl w:ilvl="0">
      <w:start w:val="1"/>
      <w:numFmt w:val="bullet"/>
      <w:pStyle w:val="ChapterHeading"/>
      <w:lvlText w:val=""/>
      <w:lvlJc w:val="left"/>
      <w:pPr>
        <w:tabs>
          <w:tab w:val="num" w:pos="926"/>
        </w:tabs>
        <w:ind w:left="926" w:hanging="360"/>
      </w:pPr>
      <w:rPr>
        <w:rFonts w:ascii="Symbol" w:hAnsi="Symbol" w:hint="default"/>
      </w:rPr>
    </w:lvl>
  </w:abstractNum>
  <w:abstractNum w:abstractNumId="1" w15:restartNumberingAfterBreak="0">
    <w:nsid w:val="4EF37766"/>
    <w:multiLevelType w:val="multilevel"/>
    <w:tmpl w:val="C6D08C6C"/>
    <w:lvl w:ilvl="0">
      <w:start w:val="1"/>
      <w:numFmt w:val="decimal"/>
      <w:pStyle w:val="Heading1"/>
      <w:lvlText w:val="%1"/>
      <w:lvlJc w:val="left"/>
      <w:pPr>
        <w:ind w:left="851" w:hanging="851"/>
      </w:pPr>
      <w:rPr>
        <w:rFonts w:hint="default"/>
      </w:rPr>
    </w:lvl>
    <w:lvl w:ilvl="1">
      <w:start w:val="1"/>
      <w:numFmt w:val="decimal"/>
      <w:lvlText w:val="%1.%2"/>
      <w:lvlJc w:val="left"/>
      <w:pPr>
        <w:ind w:left="851" w:hanging="851"/>
      </w:pPr>
      <w:rPr>
        <w:rFonts w:hint="default"/>
        <w:kern w:val="2"/>
        <w14:ligatures w14:val="standard"/>
        <w14:numForm w14:val="lining"/>
        <w14:numSpacing w14:val="proportional"/>
      </w:rPr>
    </w:lvl>
    <w:lvl w:ilvl="2">
      <w:start w:val="1"/>
      <w:numFmt w:val="decimal"/>
      <w:lvlText w:val="%1.%2.%3"/>
      <w:lvlJc w:val="left"/>
      <w:pPr>
        <w:ind w:left="851" w:hanging="851"/>
      </w:pPr>
      <w:rPr>
        <w:rFonts w:hint="default"/>
        <w:kern w:val="2"/>
        <w14:ligatures w14:val="standard"/>
        <w14:numForm w14:val="lining"/>
        <w14:numSpacing w14:val="proportional"/>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62"/>
    <w:rsid w:val="000157D7"/>
    <w:rsid w:val="00022EE1"/>
    <w:rsid w:val="00024446"/>
    <w:rsid w:val="00065BF5"/>
    <w:rsid w:val="000A7223"/>
    <w:rsid w:val="00110C1C"/>
    <w:rsid w:val="00122462"/>
    <w:rsid w:val="00132CC4"/>
    <w:rsid w:val="001331D5"/>
    <w:rsid w:val="00151882"/>
    <w:rsid w:val="001D3AC6"/>
    <w:rsid w:val="001F3F7A"/>
    <w:rsid w:val="00201C9D"/>
    <w:rsid w:val="002936AD"/>
    <w:rsid w:val="00355484"/>
    <w:rsid w:val="0039706C"/>
    <w:rsid w:val="003D1BDE"/>
    <w:rsid w:val="003F5B61"/>
    <w:rsid w:val="004258D7"/>
    <w:rsid w:val="004456CC"/>
    <w:rsid w:val="004A2262"/>
    <w:rsid w:val="004F5501"/>
    <w:rsid w:val="00505E5B"/>
    <w:rsid w:val="005161D9"/>
    <w:rsid w:val="00553582"/>
    <w:rsid w:val="00582370"/>
    <w:rsid w:val="005A54E6"/>
    <w:rsid w:val="005D085F"/>
    <w:rsid w:val="00665FA3"/>
    <w:rsid w:val="006C30A5"/>
    <w:rsid w:val="007133E1"/>
    <w:rsid w:val="0074080D"/>
    <w:rsid w:val="00757760"/>
    <w:rsid w:val="00767A0D"/>
    <w:rsid w:val="00771AB9"/>
    <w:rsid w:val="00815CC9"/>
    <w:rsid w:val="00842784"/>
    <w:rsid w:val="008914EE"/>
    <w:rsid w:val="008D76D4"/>
    <w:rsid w:val="008F4BCD"/>
    <w:rsid w:val="009C7303"/>
    <w:rsid w:val="009E54CB"/>
    <w:rsid w:val="00A52B02"/>
    <w:rsid w:val="00A64E0C"/>
    <w:rsid w:val="00A966DD"/>
    <w:rsid w:val="00AE720D"/>
    <w:rsid w:val="00B3554C"/>
    <w:rsid w:val="00B36279"/>
    <w:rsid w:val="00B849E8"/>
    <w:rsid w:val="00BB35F9"/>
    <w:rsid w:val="00BE2ADB"/>
    <w:rsid w:val="00C4679C"/>
    <w:rsid w:val="00C85EBB"/>
    <w:rsid w:val="00CE5F1D"/>
    <w:rsid w:val="00CF401A"/>
    <w:rsid w:val="00CF7C60"/>
    <w:rsid w:val="00D1120B"/>
    <w:rsid w:val="00D732EA"/>
    <w:rsid w:val="00D87B8C"/>
    <w:rsid w:val="00DB5CC7"/>
    <w:rsid w:val="00DD2F8B"/>
    <w:rsid w:val="00E34ECA"/>
    <w:rsid w:val="00E54DA2"/>
    <w:rsid w:val="00E80DD0"/>
    <w:rsid w:val="00E8652E"/>
    <w:rsid w:val="00ED092E"/>
    <w:rsid w:val="00F2158A"/>
    <w:rsid w:val="00F31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253A"/>
  <w14:defaultImageDpi w14:val="32767"/>
  <w15:chartTrackingRefBased/>
  <w15:docId w15:val="{03EA7E75-B0FA-6149-9896-F01C8F46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qFormat/>
    <w:rsid w:val="00815CC9"/>
    <w:pPr>
      <w:keepNext/>
      <w:keepLines/>
      <w:numPr>
        <w:numId w:val="1"/>
      </w:numPr>
      <w:spacing w:line="276" w:lineRule="auto"/>
      <w:outlineLvl w:val="0"/>
    </w:pPr>
    <w:rPr>
      <w:rFonts w:eastAsiaTheme="majorEastAsia" w:cstheme="majorBidi"/>
      <w:b/>
      <w:bCs/>
      <w:kern w:val="16"/>
      <w:sz w:val="32"/>
      <w:szCs w:val="32"/>
      <w14:numForm w14:val="default"/>
      <w14:numSpacing w14:val="propor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15CC9"/>
    <w:pPr>
      <w:spacing w:after="200" w:line="360" w:lineRule="auto"/>
    </w:pPr>
    <w:rPr>
      <w:rFonts w:eastAsiaTheme="minorEastAsia"/>
      <w:lang w:val="en-US"/>
      <w14:ligatures w14:val="standard"/>
      <w14:numForm w14:val="oldStyle"/>
    </w:rPr>
  </w:style>
  <w:style w:type="character" w:customStyle="1" w:styleId="BodyTextChar">
    <w:name w:val="Body Text Char"/>
    <w:basedOn w:val="DefaultParagraphFont"/>
    <w:link w:val="BodyText"/>
    <w:rsid w:val="00815CC9"/>
    <w:rPr>
      <w:rFonts w:eastAsiaTheme="minorEastAsia"/>
      <w:lang w:val="en-US"/>
      <w14:ligatures w14:val="standard"/>
      <w14:numForm w14:val="oldStyle"/>
    </w:rPr>
  </w:style>
  <w:style w:type="paragraph" w:customStyle="1" w:styleId="Bibliohang">
    <w:name w:val="Biblio_hang"/>
    <w:basedOn w:val="BodyText"/>
    <w:qFormat/>
    <w:rsid w:val="00815CC9"/>
    <w:pPr>
      <w:ind w:left="720" w:hanging="720"/>
    </w:pPr>
    <w:rPr>
      <w:kern w:val="16"/>
      <w14:numSpacing w14:val="proportional"/>
    </w:rPr>
  </w:style>
  <w:style w:type="paragraph" w:styleId="BodyText2">
    <w:name w:val="Body Text 2"/>
    <w:basedOn w:val="Normal"/>
    <w:link w:val="BodyText2Char"/>
    <w:rsid w:val="00815CC9"/>
    <w:pPr>
      <w:spacing w:after="120" w:line="480" w:lineRule="auto"/>
      <w:jc w:val="both"/>
    </w:pPr>
    <w:rPr>
      <w:sz w:val="22"/>
    </w:rPr>
  </w:style>
  <w:style w:type="character" w:customStyle="1" w:styleId="BodyText2Char">
    <w:name w:val="Body Text 2 Char"/>
    <w:basedOn w:val="DefaultParagraphFont"/>
    <w:link w:val="BodyText2"/>
    <w:rsid w:val="00815CC9"/>
    <w:rPr>
      <w:sz w:val="22"/>
    </w:rPr>
  </w:style>
  <w:style w:type="paragraph" w:customStyle="1" w:styleId="Tabledb">
    <w:name w:val="Table db"/>
    <w:basedOn w:val="Normal"/>
    <w:qFormat/>
    <w:rsid w:val="00815CC9"/>
    <w:pPr>
      <w:keepNext/>
      <w:spacing w:before="20"/>
    </w:pPr>
    <w:rPr>
      <w:rFonts w:ascii="Franklin Gothic Book" w:hAnsi="Franklin Gothic Book"/>
      <w:sz w:val="20"/>
    </w:rPr>
  </w:style>
  <w:style w:type="paragraph" w:styleId="Caption">
    <w:name w:val="caption"/>
    <w:aliases w:val="Caption-db"/>
    <w:basedOn w:val="Tabledb"/>
    <w:next w:val="BodyText"/>
    <w:unhideWhenUsed/>
    <w:qFormat/>
    <w:rsid w:val="00815CC9"/>
    <w:pPr>
      <w:keepNext w:val="0"/>
      <w:spacing w:before="0" w:after="480"/>
    </w:pPr>
    <w:rPr>
      <w:rFonts w:ascii="Franklin Gothic Medium" w:hAnsi="Franklin Gothic Medium"/>
    </w:rPr>
  </w:style>
  <w:style w:type="character" w:customStyle="1" w:styleId="Heading1Char">
    <w:name w:val="Heading 1 Char"/>
    <w:basedOn w:val="DefaultParagraphFont"/>
    <w:link w:val="Heading1"/>
    <w:rsid w:val="00815CC9"/>
    <w:rPr>
      <w:rFonts w:eastAsiaTheme="majorEastAsia" w:cstheme="majorBidi"/>
      <w:b/>
      <w:bCs/>
      <w:kern w:val="16"/>
      <w:sz w:val="32"/>
      <w:szCs w:val="32"/>
      <w:lang w:val="en-US"/>
      <w14:ligatures w14:val="standard"/>
      <w14:numSpacing w14:val="proportional"/>
    </w:rPr>
  </w:style>
  <w:style w:type="paragraph" w:customStyle="1" w:styleId="ChapterHeading">
    <w:name w:val="Chapter Heading"/>
    <w:basedOn w:val="Heading1"/>
    <w:qFormat/>
    <w:rsid w:val="00815CC9"/>
    <w:pPr>
      <w:numPr>
        <w:numId w:val="2"/>
      </w:numPr>
      <w:spacing w:after="0"/>
      <w:jc w:val="both"/>
    </w:pPr>
    <w:rPr>
      <w:lang w:val="en-GB"/>
    </w:rPr>
  </w:style>
  <w:style w:type="character" w:customStyle="1" w:styleId="Footnotenumber">
    <w:name w:val="Footnote number"/>
    <w:rsid w:val="00815CC9"/>
    <w:rPr>
      <w:rFonts w:ascii="Warnock Pro" w:eastAsia="ヒラギノ角ゴ Pro W3" w:hAnsi="Warnock Pro"/>
      <w:b w:val="0"/>
      <w:i w:val="0"/>
      <w:caps w:val="0"/>
      <w:smallCaps w:val="0"/>
      <w:strike w:val="0"/>
      <w:dstrike w:val="0"/>
      <w:color w:val="000000"/>
      <w:spacing w:val="0"/>
      <w:position w:val="0"/>
      <w:sz w:val="23"/>
      <w:u w:val="none"/>
      <w:vertAlign w:val="superscript"/>
      <w:lang w:val="en-US"/>
    </w:rPr>
  </w:style>
  <w:style w:type="character" w:styleId="FootnoteReference">
    <w:name w:val="footnote reference"/>
    <w:basedOn w:val="DefaultParagraphFont"/>
    <w:uiPriority w:val="99"/>
    <w:unhideWhenUsed/>
    <w:rsid w:val="00815CC9"/>
    <w:rPr>
      <w:vertAlign w:val="superscript"/>
    </w:rPr>
  </w:style>
  <w:style w:type="paragraph" w:styleId="FootnoteText">
    <w:name w:val="footnote text"/>
    <w:basedOn w:val="Normal"/>
    <w:link w:val="FootnoteTextChar"/>
    <w:uiPriority w:val="99"/>
    <w:unhideWhenUsed/>
    <w:rsid w:val="00815CC9"/>
    <w:pPr>
      <w:spacing w:before="60"/>
    </w:pPr>
    <w:rPr>
      <w:rFonts w:eastAsiaTheme="minorEastAsia" w:cs="Cambria"/>
      <w:kern w:val="16"/>
      <w:sz w:val="20"/>
      <w:szCs w:val="20"/>
      <w:lang w:val="en-US"/>
      <w14:ligatures w14:val="standard"/>
      <w14:numForm w14:val="oldStyle"/>
      <w14:numSpacing w14:val="proportional"/>
    </w:rPr>
  </w:style>
  <w:style w:type="character" w:customStyle="1" w:styleId="FootnoteTextChar">
    <w:name w:val="Footnote Text Char"/>
    <w:basedOn w:val="DefaultParagraphFont"/>
    <w:link w:val="FootnoteText"/>
    <w:uiPriority w:val="99"/>
    <w:rsid w:val="00815CC9"/>
    <w:rPr>
      <w:rFonts w:eastAsiaTheme="minorEastAsia" w:cs="Cambria"/>
      <w:kern w:val="16"/>
      <w:sz w:val="20"/>
      <w:szCs w:val="20"/>
      <w:lang w:val="en-US"/>
      <w14:ligatures w14:val="standard"/>
      <w14:numForm w14:val="oldStyle"/>
      <w14:numSpacing w14:val="proportional"/>
    </w:rPr>
  </w:style>
  <w:style w:type="paragraph" w:styleId="Header">
    <w:name w:val="header"/>
    <w:basedOn w:val="Normal"/>
    <w:link w:val="HeaderChar"/>
    <w:unhideWhenUsed/>
    <w:rsid w:val="00815CC9"/>
    <w:pPr>
      <w:tabs>
        <w:tab w:val="center" w:pos="4320"/>
        <w:tab w:val="right" w:pos="8640"/>
      </w:tabs>
    </w:pPr>
    <w:rPr>
      <w:rFonts w:eastAsiaTheme="minorEastAsia"/>
      <w:lang w:val="en-US"/>
    </w:rPr>
  </w:style>
  <w:style w:type="character" w:customStyle="1" w:styleId="HeaderChar">
    <w:name w:val="Header Char"/>
    <w:basedOn w:val="DefaultParagraphFont"/>
    <w:link w:val="Header"/>
    <w:rsid w:val="00815CC9"/>
    <w:rPr>
      <w:rFonts w:eastAsiaTheme="minorEastAsia"/>
      <w:lang w:val="en-US"/>
    </w:rPr>
  </w:style>
  <w:style w:type="paragraph" w:customStyle="1" w:styleId="Indentedquote">
    <w:name w:val="Indented quote"/>
    <w:basedOn w:val="BodyText"/>
    <w:qFormat/>
    <w:rsid w:val="00815CC9"/>
    <w:pPr>
      <w:spacing w:after="360" w:line="276" w:lineRule="auto"/>
      <w:ind w:left="720"/>
    </w:pPr>
    <w:rPr>
      <w:kern w:val="16"/>
      <w14:numSpacing w14:val="proportional"/>
    </w:rPr>
  </w:style>
  <w:style w:type="paragraph" w:styleId="ListParagraph">
    <w:name w:val="List Paragraph"/>
    <w:basedOn w:val="Normal"/>
    <w:uiPriority w:val="34"/>
    <w:qFormat/>
    <w:rsid w:val="00815CC9"/>
    <w:pPr>
      <w:spacing w:after="200"/>
      <w:ind w:left="720"/>
      <w:contextualSpacing/>
      <w:jc w:val="both"/>
    </w:pPr>
    <w:rPr>
      <w:sz w:val="22"/>
    </w:rPr>
  </w:style>
  <w:style w:type="paragraph" w:styleId="BalloonText">
    <w:name w:val="Balloon Text"/>
    <w:basedOn w:val="Normal"/>
    <w:link w:val="BalloonTextChar"/>
    <w:uiPriority w:val="99"/>
    <w:semiHidden/>
    <w:unhideWhenUsed/>
    <w:rsid w:val="00F215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5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134816">
      <w:bodyDiv w:val="1"/>
      <w:marLeft w:val="0"/>
      <w:marRight w:val="0"/>
      <w:marTop w:val="0"/>
      <w:marBottom w:val="0"/>
      <w:divBdr>
        <w:top w:val="none" w:sz="0" w:space="0" w:color="auto"/>
        <w:left w:val="none" w:sz="0" w:space="0" w:color="auto"/>
        <w:bottom w:val="none" w:sz="0" w:space="0" w:color="auto"/>
        <w:right w:val="none" w:sz="0" w:space="0" w:color="auto"/>
      </w:divBdr>
    </w:div>
    <w:div w:id="16188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Douglas H</dc:creator>
  <cp:keywords/>
  <dc:description/>
  <cp:lastModifiedBy>Clifford, Katrina M</cp:lastModifiedBy>
  <cp:revision>2</cp:revision>
  <dcterms:created xsi:type="dcterms:W3CDTF">2020-10-12T09:36:00Z</dcterms:created>
  <dcterms:modified xsi:type="dcterms:W3CDTF">2020-10-12T09:36:00Z</dcterms:modified>
</cp:coreProperties>
</file>